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C6B6" w14:textId="67632088" w:rsidR="00D536BF" w:rsidRDefault="004E05C5" w:rsidP="00D536BF">
      <w:pPr>
        <w:tabs>
          <w:tab w:val="right" w:pos="9020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60A88321" wp14:editId="134D52C1">
            <wp:simplePos x="0" y="0"/>
            <wp:positionH relativeFrom="column">
              <wp:posOffset>4200525</wp:posOffset>
            </wp:positionH>
            <wp:positionV relativeFrom="paragraph">
              <wp:posOffset>359</wp:posOffset>
            </wp:positionV>
            <wp:extent cx="1965325" cy="786130"/>
            <wp:effectExtent l="0" t="0" r="3175" b="1270"/>
            <wp:wrapTight wrapText="bothSides">
              <wp:wrapPolygon edited="0">
                <wp:start x="0" y="0"/>
                <wp:lineTo x="0" y="21286"/>
                <wp:lineTo x="21495" y="21286"/>
                <wp:lineTo x="21495" y="0"/>
                <wp:lineTo x="0" y="0"/>
              </wp:wrapPolygon>
            </wp:wrapTight>
            <wp:docPr id="231469855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69855" name="Picture 1" descr="A blue and black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6BF" w:rsidRPr="00D536BF">
        <w:rPr>
          <w:rFonts w:asciiTheme="majorHAnsi" w:hAnsiTheme="majorHAnsi" w:cstheme="majorHAnsi"/>
          <w:color w:val="000000"/>
        </w:rPr>
        <w:t xml:space="preserve">Wednesday, </w:t>
      </w:r>
      <w:r w:rsidR="0073281D">
        <w:rPr>
          <w:rFonts w:asciiTheme="majorHAnsi" w:hAnsiTheme="majorHAnsi" w:cstheme="majorHAnsi"/>
          <w:color w:val="000000"/>
        </w:rPr>
        <w:t>September 13</w:t>
      </w:r>
      <w:r w:rsidR="0073281D" w:rsidRPr="0073281D">
        <w:rPr>
          <w:rFonts w:asciiTheme="majorHAnsi" w:hAnsiTheme="majorHAnsi" w:cstheme="majorHAnsi"/>
          <w:color w:val="000000"/>
          <w:vertAlign w:val="superscript"/>
        </w:rPr>
        <w:t>th</w:t>
      </w:r>
      <w:r w:rsidR="00D536BF" w:rsidRPr="00D536BF">
        <w:rPr>
          <w:rFonts w:asciiTheme="majorHAnsi" w:hAnsiTheme="majorHAnsi" w:cstheme="majorHAnsi"/>
          <w:color w:val="000000"/>
        </w:rPr>
        <w:t>, 2023</w:t>
      </w:r>
    </w:p>
    <w:p w14:paraId="46BF8594" w14:textId="2057FD94" w:rsidR="00844E92" w:rsidRPr="00D536BF" w:rsidRDefault="00A95902" w:rsidP="00D536BF">
      <w:pPr>
        <w:tabs>
          <w:tab w:val="right" w:pos="9020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9:00 am </w:t>
      </w:r>
    </w:p>
    <w:p w14:paraId="3A479A1B" w14:textId="470CDF69" w:rsidR="00844E92" w:rsidRPr="00844E92" w:rsidRDefault="00844E92" w:rsidP="00844E92">
      <w:pPr>
        <w:shd w:val="clear" w:color="auto" w:fill="FFFFFF"/>
        <w:rPr>
          <w:rStyle w:val="xxxelementtoproof"/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</w:rPr>
      </w:pPr>
      <w:r w:rsidRPr="00844E92">
        <w:rPr>
          <w:rStyle w:val="xxxelementtoproof"/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</w:rPr>
        <w:t xml:space="preserve">TCA Offices, </w:t>
      </w:r>
      <w:r w:rsidRPr="00844E92"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</w:rPr>
        <w:t>1961 Chain Bridge Road, Suite C205B</w:t>
      </w:r>
    </w:p>
    <w:p w14:paraId="6F2F8EAE" w14:textId="6794F9B3" w:rsidR="00844E92" w:rsidRPr="00844E92" w:rsidRDefault="00844E92" w:rsidP="00844E92">
      <w:pPr>
        <w:shd w:val="clear" w:color="auto" w:fill="FFFFFF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shd w:val="clear" w:color="auto" w:fill="FFFFFF"/>
        </w:rPr>
      </w:pPr>
      <w:r w:rsidRPr="00844E92">
        <w:rPr>
          <w:rStyle w:val="xxxelementtoproof"/>
          <w:rFonts w:asciiTheme="majorHAnsi" w:eastAsia="Times New Roman" w:hAnsiTheme="majorHAnsi" w:cstheme="majorHAnsi"/>
          <w:i/>
          <w:iCs/>
          <w:color w:val="000000"/>
          <w:sz w:val="20"/>
          <w:szCs w:val="20"/>
          <w:shd w:val="clear" w:color="auto" w:fill="FFFFFF"/>
        </w:rPr>
        <w:t>Tysons Corner Center, Nordstrom wing, 2nd floor</w:t>
      </w:r>
    </w:p>
    <w:p w14:paraId="6712FCB8" w14:textId="77777777" w:rsidR="00D536BF" w:rsidRPr="00D536BF" w:rsidRDefault="00D536BF" w:rsidP="00D536BF">
      <w:pPr>
        <w:tabs>
          <w:tab w:val="right" w:pos="9020"/>
        </w:tabs>
        <w:autoSpaceDE w:val="0"/>
        <w:autoSpaceDN w:val="0"/>
        <w:adjustRightInd w:val="0"/>
        <w:spacing w:after="200"/>
        <w:rPr>
          <w:rFonts w:asciiTheme="majorHAnsi" w:hAnsiTheme="majorHAnsi" w:cstheme="majorHAnsi"/>
          <w:color w:val="000000"/>
        </w:rPr>
      </w:pPr>
    </w:p>
    <w:p w14:paraId="5E761F6B" w14:textId="6AD27507" w:rsidR="00D536BF" w:rsidRPr="00D536BF" w:rsidRDefault="00844E92" w:rsidP="00D536BF">
      <w:pPr>
        <w:pStyle w:val="Heading1"/>
        <w:pBdr>
          <w:bottom w:val="single" w:sz="4" w:space="1" w:color="auto"/>
        </w:pBdr>
        <w:rPr>
          <w:rStyle w:val="SubtleReference"/>
          <w:color w:val="000000" w:themeColor="text1"/>
        </w:rPr>
      </w:pPr>
      <w:r>
        <w:rPr>
          <w:rStyle w:val="SubtleReference"/>
          <w:color w:val="000000" w:themeColor="text1"/>
        </w:rPr>
        <w:t xml:space="preserve">Executive Committee, </w:t>
      </w:r>
      <w:r w:rsidR="00D536BF" w:rsidRPr="00D536BF">
        <w:rPr>
          <w:rStyle w:val="SubtleReference"/>
          <w:color w:val="000000" w:themeColor="text1"/>
        </w:rPr>
        <w:t>T</w:t>
      </w:r>
      <w:r>
        <w:rPr>
          <w:rStyle w:val="SubtleReference"/>
          <w:color w:val="000000" w:themeColor="text1"/>
        </w:rPr>
        <w:t xml:space="preserve">ysons </w:t>
      </w:r>
      <w:r w:rsidR="00D536BF" w:rsidRPr="00D536BF">
        <w:rPr>
          <w:rStyle w:val="SubtleReference"/>
          <w:color w:val="000000" w:themeColor="text1"/>
        </w:rPr>
        <w:t>C</w:t>
      </w:r>
      <w:r>
        <w:rPr>
          <w:rStyle w:val="SubtleReference"/>
          <w:color w:val="000000" w:themeColor="text1"/>
        </w:rPr>
        <w:t xml:space="preserve">ommunity </w:t>
      </w:r>
      <w:r w:rsidR="00D536BF" w:rsidRPr="00D536BF">
        <w:rPr>
          <w:rStyle w:val="SubtleReference"/>
          <w:color w:val="000000" w:themeColor="text1"/>
        </w:rPr>
        <w:t>A</w:t>
      </w:r>
      <w:r>
        <w:rPr>
          <w:rStyle w:val="SubtleReference"/>
          <w:color w:val="000000" w:themeColor="text1"/>
        </w:rPr>
        <w:t>lliance</w:t>
      </w:r>
      <w:r w:rsidR="00D536BF" w:rsidRPr="00D536BF">
        <w:rPr>
          <w:rStyle w:val="SubtleReference"/>
          <w:color w:val="000000" w:themeColor="text1"/>
        </w:rPr>
        <w:t xml:space="preserve"> Board of Directors </w:t>
      </w:r>
    </w:p>
    <w:p w14:paraId="74A04062" w14:textId="77777777" w:rsidR="00D536BF" w:rsidRPr="00D536BF" w:rsidRDefault="00D536BF" w:rsidP="00D536BF">
      <w:pPr>
        <w:autoSpaceDE w:val="0"/>
        <w:autoSpaceDN w:val="0"/>
        <w:adjustRightInd w:val="0"/>
        <w:spacing w:after="40" w:line="288" w:lineRule="auto"/>
        <w:rPr>
          <w:rFonts w:asciiTheme="majorHAnsi" w:hAnsiTheme="majorHAnsi" w:cstheme="majorHAnsi"/>
          <w:color w:val="000000"/>
          <w:spacing w:val="5"/>
          <w:kern w:val="1"/>
          <w:sz w:val="32"/>
          <w:szCs w:val="32"/>
        </w:rPr>
      </w:pPr>
      <w:r w:rsidRPr="00D536BF">
        <w:rPr>
          <w:rFonts w:asciiTheme="majorHAnsi" w:hAnsiTheme="majorHAnsi" w:cstheme="majorHAnsi"/>
          <w:color w:val="000000"/>
          <w:spacing w:val="5"/>
          <w:kern w:val="1"/>
          <w:sz w:val="32"/>
          <w:szCs w:val="32"/>
        </w:rPr>
        <w:t xml:space="preserve">Agenda </w:t>
      </w:r>
    </w:p>
    <w:p w14:paraId="42D2DAC0" w14:textId="77777777" w:rsidR="00D536BF" w:rsidRPr="00D536BF" w:rsidRDefault="00D536BF" w:rsidP="00D536BF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kern w:val="1"/>
        </w:rPr>
      </w:pPr>
    </w:p>
    <w:p w14:paraId="2E1EC7DA" w14:textId="7563C986" w:rsidR="00D536BF" w:rsidRDefault="004E05C5" w:rsidP="00D536BF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191919"/>
          <w:kern w:val="1"/>
        </w:rPr>
      </w:pPr>
      <w:r>
        <w:rPr>
          <w:rFonts w:asciiTheme="majorHAnsi" w:hAnsiTheme="majorHAnsi" w:cstheme="majorHAnsi"/>
          <w:b/>
          <w:bCs/>
          <w:color w:val="191919"/>
          <w:kern w:val="1"/>
        </w:rPr>
        <w:t>Welcome</w:t>
      </w:r>
    </w:p>
    <w:p w14:paraId="06F77E36" w14:textId="6C94A085" w:rsidR="00401916" w:rsidRPr="00401916" w:rsidRDefault="00401916" w:rsidP="0040191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191919"/>
          <w:kern w:val="1"/>
        </w:rPr>
      </w:pPr>
      <w:r>
        <w:rPr>
          <w:rFonts w:asciiTheme="majorHAnsi" w:hAnsiTheme="majorHAnsi" w:cstheme="majorHAnsi"/>
          <w:color w:val="191919"/>
          <w:kern w:val="1"/>
        </w:rPr>
        <w:t>TCA FY2024 Q1 Activities and Achievements:</w:t>
      </w:r>
    </w:p>
    <w:p w14:paraId="33B5BC11" w14:textId="56975081" w:rsidR="00401916" w:rsidRPr="00401916" w:rsidRDefault="00401916" w:rsidP="00401916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191919"/>
          <w:kern w:val="1"/>
        </w:rPr>
      </w:pPr>
      <w:r>
        <w:rPr>
          <w:rFonts w:asciiTheme="majorHAnsi" w:hAnsiTheme="majorHAnsi" w:cstheme="majorHAnsi"/>
          <w:color w:val="191919"/>
          <w:kern w:val="1"/>
        </w:rPr>
        <w:t>Market Study release and earned media</w:t>
      </w:r>
    </w:p>
    <w:p w14:paraId="008D50F5" w14:textId="522ED0BA" w:rsidR="00401916" w:rsidRPr="00401916" w:rsidRDefault="00401916" w:rsidP="00401916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191919"/>
          <w:kern w:val="1"/>
        </w:rPr>
      </w:pPr>
      <w:r>
        <w:rPr>
          <w:rFonts w:asciiTheme="majorHAnsi" w:hAnsiTheme="majorHAnsi" w:cstheme="majorHAnsi"/>
          <w:color w:val="191919"/>
          <w:kern w:val="1"/>
        </w:rPr>
        <w:t xml:space="preserve">Programming and events </w:t>
      </w:r>
    </w:p>
    <w:p w14:paraId="4A0E1A0F" w14:textId="0DF86C23" w:rsidR="00401916" w:rsidRPr="00401916" w:rsidRDefault="00401916" w:rsidP="00401916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191919"/>
          <w:kern w:val="1"/>
        </w:rPr>
      </w:pPr>
      <w:r>
        <w:rPr>
          <w:rFonts w:asciiTheme="majorHAnsi" w:hAnsiTheme="majorHAnsi" w:cstheme="majorHAnsi"/>
          <w:color w:val="191919"/>
          <w:kern w:val="1"/>
        </w:rPr>
        <w:t>Placemaking projects: Complete, underway, and emerging</w:t>
      </w:r>
    </w:p>
    <w:p w14:paraId="513E41CE" w14:textId="5C6F6662" w:rsidR="004E05C5" w:rsidRPr="004E05C5" w:rsidRDefault="00D536BF" w:rsidP="00D536BF">
      <w:pPr>
        <w:autoSpaceDE w:val="0"/>
        <w:autoSpaceDN w:val="0"/>
        <w:adjustRightInd w:val="0"/>
        <w:rPr>
          <w:rFonts w:asciiTheme="majorHAnsi" w:hAnsiTheme="majorHAnsi" w:cstheme="majorHAnsi"/>
          <w:color w:val="191919"/>
          <w:kern w:val="1"/>
        </w:rPr>
      </w:pPr>
      <w:r w:rsidRPr="00D536BF">
        <w:rPr>
          <w:rFonts w:asciiTheme="majorHAnsi" w:hAnsiTheme="majorHAnsi" w:cstheme="majorHAnsi"/>
          <w:color w:val="191919"/>
          <w:kern w:val="1"/>
        </w:rPr>
        <w:t> </w:t>
      </w:r>
    </w:p>
    <w:p w14:paraId="77399143" w14:textId="5E1493B9" w:rsidR="00D536BF" w:rsidRPr="00D536BF" w:rsidRDefault="00EA7776" w:rsidP="00D536BF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191919"/>
          <w:kern w:val="1"/>
        </w:rPr>
      </w:pPr>
      <w:r>
        <w:rPr>
          <w:rFonts w:asciiTheme="majorHAnsi" w:hAnsiTheme="majorHAnsi" w:cstheme="majorHAnsi"/>
          <w:b/>
          <w:bCs/>
          <w:color w:val="191919"/>
          <w:kern w:val="1"/>
        </w:rPr>
        <w:t>Work Program</w:t>
      </w:r>
      <w:r w:rsidR="007E2F61">
        <w:rPr>
          <w:rFonts w:asciiTheme="majorHAnsi" w:hAnsiTheme="majorHAnsi" w:cstheme="majorHAnsi"/>
          <w:b/>
          <w:bCs/>
          <w:color w:val="191919"/>
          <w:kern w:val="1"/>
        </w:rPr>
        <w:t xml:space="preserve"> </w:t>
      </w:r>
      <w:r>
        <w:rPr>
          <w:rFonts w:asciiTheme="majorHAnsi" w:hAnsiTheme="majorHAnsi" w:cstheme="majorHAnsi"/>
          <w:b/>
          <w:bCs/>
          <w:color w:val="191919"/>
          <w:kern w:val="1"/>
        </w:rPr>
        <w:t xml:space="preserve">and </w:t>
      </w:r>
      <w:r w:rsidR="004E05C5">
        <w:rPr>
          <w:rFonts w:asciiTheme="majorHAnsi" w:hAnsiTheme="majorHAnsi" w:cstheme="majorHAnsi"/>
          <w:b/>
          <w:bCs/>
          <w:color w:val="191919"/>
          <w:kern w:val="1"/>
        </w:rPr>
        <w:t xml:space="preserve">Budget Development: FY24 and FY25 </w:t>
      </w:r>
    </w:p>
    <w:p w14:paraId="31DF29B1" w14:textId="652BC32B" w:rsidR="00C94748" w:rsidRPr="00C94748" w:rsidRDefault="00C94748" w:rsidP="00C94748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color w:val="191919"/>
          <w:kern w:val="1"/>
        </w:rPr>
      </w:pPr>
      <w:r w:rsidRPr="00C94748">
        <w:rPr>
          <w:rFonts w:asciiTheme="majorHAnsi" w:hAnsiTheme="majorHAnsi" w:cstheme="majorHAnsi"/>
          <w:color w:val="191919"/>
          <w:kern w:val="1"/>
        </w:rPr>
        <w:t>Comments from the Budget &amp; Finance Committee</w:t>
      </w:r>
      <w:r>
        <w:rPr>
          <w:rFonts w:asciiTheme="majorHAnsi" w:hAnsiTheme="majorHAnsi" w:cstheme="majorHAnsi"/>
          <w:color w:val="191919"/>
          <w:kern w:val="1"/>
        </w:rPr>
        <w:t xml:space="preserve"> on review of FY2024 Recast Budget</w:t>
      </w:r>
    </w:p>
    <w:p w14:paraId="27C951DA" w14:textId="0BFCFEDE" w:rsidR="00D536BF" w:rsidRDefault="00C94748" w:rsidP="00D536BF">
      <w:pPr>
        <w:pStyle w:val="ListParagraph"/>
        <w:numPr>
          <w:ilvl w:val="0"/>
          <w:numId w:val="6"/>
        </w:numPr>
        <w:tabs>
          <w:tab w:val="left" w:pos="20"/>
          <w:tab w:val="left" w:pos="180"/>
        </w:tabs>
        <w:autoSpaceDE w:val="0"/>
        <w:autoSpaceDN w:val="0"/>
        <w:adjustRightInd w:val="0"/>
        <w:rPr>
          <w:rFonts w:asciiTheme="majorHAnsi" w:hAnsiTheme="majorHAnsi" w:cstheme="majorHAnsi"/>
          <w:color w:val="191919"/>
          <w:kern w:val="1"/>
        </w:rPr>
      </w:pPr>
      <w:r>
        <w:rPr>
          <w:rFonts w:asciiTheme="majorHAnsi" w:hAnsiTheme="majorHAnsi" w:cstheme="majorHAnsi"/>
          <w:color w:val="191919"/>
          <w:kern w:val="1"/>
        </w:rPr>
        <w:t>S</w:t>
      </w:r>
      <w:r w:rsidR="004E05C5">
        <w:rPr>
          <w:rFonts w:asciiTheme="majorHAnsi" w:hAnsiTheme="majorHAnsi" w:cstheme="majorHAnsi"/>
          <w:color w:val="191919"/>
          <w:kern w:val="1"/>
        </w:rPr>
        <w:t>taff presentation of</w:t>
      </w:r>
      <w:r>
        <w:rPr>
          <w:rFonts w:asciiTheme="majorHAnsi" w:hAnsiTheme="majorHAnsi" w:cstheme="majorHAnsi"/>
          <w:color w:val="191919"/>
          <w:kern w:val="1"/>
        </w:rPr>
        <w:t xml:space="preserve"> </w:t>
      </w:r>
      <w:r w:rsidR="004E05C5">
        <w:rPr>
          <w:rFonts w:asciiTheme="majorHAnsi" w:hAnsiTheme="majorHAnsi" w:cstheme="majorHAnsi"/>
          <w:color w:val="191919"/>
          <w:kern w:val="1"/>
        </w:rPr>
        <w:t>FY2024 Work Program</w:t>
      </w:r>
    </w:p>
    <w:p w14:paraId="3E59CFBE" w14:textId="2703816E" w:rsidR="004E05C5" w:rsidRPr="00D536BF" w:rsidRDefault="004E05C5" w:rsidP="004E05C5">
      <w:pPr>
        <w:pStyle w:val="ListParagraph"/>
        <w:numPr>
          <w:ilvl w:val="1"/>
          <w:numId w:val="6"/>
        </w:numPr>
        <w:tabs>
          <w:tab w:val="left" w:pos="20"/>
          <w:tab w:val="left" w:pos="180"/>
        </w:tabs>
        <w:autoSpaceDE w:val="0"/>
        <w:autoSpaceDN w:val="0"/>
        <w:adjustRightInd w:val="0"/>
        <w:rPr>
          <w:rFonts w:asciiTheme="majorHAnsi" w:hAnsiTheme="majorHAnsi" w:cstheme="majorHAnsi"/>
          <w:color w:val="191919"/>
          <w:kern w:val="1"/>
        </w:rPr>
      </w:pPr>
      <w:r>
        <w:rPr>
          <w:rFonts w:asciiTheme="majorHAnsi" w:hAnsiTheme="majorHAnsi" w:cstheme="majorHAnsi"/>
          <w:color w:val="191919"/>
          <w:kern w:val="1"/>
        </w:rPr>
        <w:t xml:space="preserve">Discussion </w:t>
      </w:r>
    </w:p>
    <w:p w14:paraId="7155EC30" w14:textId="77D69424" w:rsidR="00D536BF" w:rsidRPr="004E05C5" w:rsidRDefault="004E05C5" w:rsidP="00D536BF">
      <w:pPr>
        <w:pStyle w:val="ListParagraph"/>
        <w:numPr>
          <w:ilvl w:val="0"/>
          <w:numId w:val="6"/>
        </w:numPr>
        <w:tabs>
          <w:tab w:val="left" w:pos="20"/>
          <w:tab w:val="left" w:pos="180"/>
        </w:tabs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191919"/>
          <w:kern w:val="1"/>
        </w:rPr>
      </w:pPr>
      <w:r>
        <w:rPr>
          <w:rFonts w:asciiTheme="majorHAnsi" w:hAnsiTheme="majorHAnsi" w:cstheme="majorHAnsi"/>
          <w:color w:val="191919"/>
          <w:kern w:val="1"/>
        </w:rPr>
        <w:t xml:space="preserve">Brief staff </w:t>
      </w:r>
      <w:r w:rsidR="00C94748">
        <w:rPr>
          <w:rFonts w:asciiTheme="majorHAnsi" w:hAnsiTheme="majorHAnsi" w:cstheme="majorHAnsi"/>
          <w:color w:val="191919"/>
          <w:kern w:val="1"/>
        </w:rPr>
        <w:t xml:space="preserve">comments about </w:t>
      </w:r>
      <w:r>
        <w:rPr>
          <w:rFonts w:asciiTheme="majorHAnsi" w:hAnsiTheme="majorHAnsi" w:cstheme="majorHAnsi"/>
          <w:color w:val="191919"/>
          <w:kern w:val="1"/>
        </w:rPr>
        <w:t>draft FY2025 submission to Fairfax County, due 9/22</w:t>
      </w:r>
    </w:p>
    <w:p w14:paraId="6BD8E058" w14:textId="37E37FC3" w:rsidR="00CF7D62" w:rsidRPr="00CF7D62" w:rsidRDefault="00CF7D62" w:rsidP="004E05C5">
      <w:pPr>
        <w:pStyle w:val="ListParagraph"/>
        <w:numPr>
          <w:ilvl w:val="1"/>
          <w:numId w:val="6"/>
        </w:numPr>
        <w:tabs>
          <w:tab w:val="left" w:pos="20"/>
          <w:tab w:val="left" w:pos="180"/>
        </w:tabs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191919"/>
          <w:kern w:val="1"/>
        </w:rPr>
      </w:pPr>
      <w:r>
        <w:rPr>
          <w:rFonts w:asciiTheme="majorHAnsi" w:hAnsiTheme="majorHAnsi" w:cstheme="majorHAnsi"/>
          <w:color w:val="191919"/>
          <w:kern w:val="1"/>
        </w:rPr>
        <w:t>Timing of Board of Directors review and approval of FY2025</w:t>
      </w:r>
    </w:p>
    <w:p w14:paraId="00B1D28A" w14:textId="4D87BFE0" w:rsidR="004E05C5" w:rsidRPr="00D536BF" w:rsidRDefault="004E05C5" w:rsidP="004E05C5">
      <w:pPr>
        <w:pStyle w:val="ListParagraph"/>
        <w:numPr>
          <w:ilvl w:val="1"/>
          <w:numId w:val="6"/>
        </w:numPr>
        <w:tabs>
          <w:tab w:val="left" w:pos="20"/>
          <w:tab w:val="left" w:pos="180"/>
        </w:tabs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191919"/>
          <w:kern w:val="1"/>
        </w:rPr>
      </w:pPr>
      <w:r>
        <w:rPr>
          <w:rFonts w:asciiTheme="majorHAnsi" w:hAnsiTheme="majorHAnsi" w:cstheme="majorHAnsi"/>
          <w:color w:val="191919"/>
          <w:kern w:val="1"/>
        </w:rPr>
        <w:t>Questions</w:t>
      </w:r>
    </w:p>
    <w:p w14:paraId="0852DF08" w14:textId="77777777" w:rsidR="00D536BF" w:rsidRPr="00D536BF" w:rsidRDefault="00D536BF" w:rsidP="00D536BF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191919"/>
          <w:kern w:val="1"/>
        </w:rPr>
      </w:pPr>
    </w:p>
    <w:p w14:paraId="6E42F777" w14:textId="14AB750C" w:rsidR="00D536BF" w:rsidRPr="00D536BF" w:rsidRDefault="004E05C5" w:rsidP="00D536BF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191919"/>
          <w:kern w:val="1"/>
        </w:rPr>
      </w:pPr>
      <w:r>
        <w:rPr>
          <w:rFonts w:asciiTheme="majorHAnsi" w:hAnsiTheme="majorHAnsi" w:cstheme="majorHAnsi"/>
          <w:b/>
          <w:bCs/>
          <w:color w:val="191919"/>
          <w:kern w:val="1"/>
        </w:rPr>
        <w:t xml:space="preserve">Organizational Updates &amp; </w:t>
      </w:r>
      <w:r w:rsidR="00D536BF" w:rsidRPr="00D536BF">
        <w:rPr>
          <w:rFonts w:asciiTheme="majorHAnsi" w:hAnsiTheme="majorHAnsi" w:cstheme="majorHAnsi"/>
          <w:b/>
          <w:bCs/>
          <w:color w:val="191919"/>
          <w:kern w:val="1"/>
        </w:rPr>
        <w:t>Board Matters</w:t>
      </w:r>
    </w:p>
    <w:p w14:paraId="35924D67" w14:textId="0CB202ED" w:rsidR="004E05C5" w:rsidRDefault="004E05C5" w:rsidP="00D536BF">
      <w:pPr>
        <w:pStyle w:val="ListParagraph"/>
        <w:numPr>
          <w:ilvl w:val="0"/>
          <w:numId w:val="7"/>
        </w:numPr>
        <w:tabs>
          <w:tab w:val="left" w:pos="20"/>
          <w:tab w:val="left" w:pos="283"/>
        </w:tabs>
        <w:autoSpaceDE w:val="0"/>
        <w:autoSpaceDN w:val="0"/>
        <w:adjustRightInd w:val="0"/>
        <w:rPr>
          <w:rFonts w:asciiTheme="majorHAnsi" w:hAnsiTheme="majorHAnsi" w:cstheme="majorHAnsi"/>
          <w:color w:val="191919"/>
          <w:kern w:val="1"/>
        </w:rPr>
      </w:pPr>
      <w:r>
        <w:rPr>
          <w:rFonts w:asciiTheme="majorHAnsi" w:hAnsiTheme="majorHAnsi" w:cstheme="majorHAnsi"/>
          <w:color w:val="191919"/>
          <w:kern w:val="1"/>
        </w:rPr>
        <w:t xml:space="preserve">Transparency and records retention </w:t>
      </w:r>
      <w:r w:rsidR="00DD509D">
        <w:rPr>
          <w:rFonts w:asciiTheme="majorHAnsi" w:hAnsiTheme="majorHAnsi" w:cstheme="majorHAnsi"/>
          <w:color w:val="191919"/>
          <w:kern w:val="1"/>
        </w:rPr>
        <w:t>(TCA attorney available for Q&amp;A)</w:t>
      </w:r>
    </w:p>
    <w:p w14:paraId="547EE843" w14:textId="186C6F70" w:rsidR="00D536BF" w:rsidRDefault="004E05C5" w:rsidP="00D536BF">
      <w:pPr>
        <w:pStyle w:val="ListParagraph"/>
        <w:numPr>
          <w:ilvl w:val="0"/>
          <w:numId w:val="7"/>
        </w:numPr>
        <w:tabs>
          <w:tab w:val="left" w:pos="20"/>
          <w:tab w:val="left" w:pos="283"/>
        </w:tabs>
        <w:autoSpaceDE w:val="0"/>
        <w:autoSpaceDN w:val="0"/>
        <w:adjustRightInd w:val="0"/>
        <w:rPr>
          <w:rFonts w:asciiTheme="majorHAnsi" w:hAnsiTheme="majorHAnsi" w:cstheme="majorHAnsi"/>
          <w:color w:val="191919"/>
          <w:kern w:val="1"/>
        </w:rPr>
      </w:pPr>
      <w:r>
        <w:rPr>
          <w:rFonts w:asciiTheme="majorHAnsi" w:hAnsiTheme="majorHAnsi" w:cstheme="majorHAnsi"/>
          <w:color w:val="191919"/>
          <w:kern w:val="1"/>
        </w:rPr>
        <w:t>Updates on new TCA Director</w:t>
      </w:r>
      <w:r w:rsidR="00CF7D62">
        <w:rPr>
          <w:rFonts w:asciiTheme="majorHAnsi" w:hAnsiTheme="majorHAnsi" w:cstheme="majorHAnsi"/>
          <w:color w:val="191919"/>
          <w:kern w:val="1"/>
        </w:rPr>
        <w:t>s</w:t>
      </w:r>
      <w:r>
        <w:rPr>
          <w:rFonts w:asciiTheme="majorHAnsi" w:hAnsiTheme="majorHAnsi" w:cstheme="majorHAnsi"/>
          <w:color w:val="191919"/>
          <w:kern w:val="1"/>
        </w:rPr>
        <w:t xml:space="preserve"> hires</w:t>
      </w:r>
    </w:p>
    <w:p w14:paraId="23A140A3" w14:textId="1EF91B08" w:rsidR="00D536BF" w:rsidRPr="00D536BF" w:rsidRDefault="004E05C5" w:rsidP="00D536BF">
      <w:pPr>
        <w:pStyle w:val="ListParagraph"/>
        <w:numPr>
          <w:ilvl w:val="0"/>
          <w:numId w:val="7"/>
        </w:numPr>
        <w:tabs>
          <w:tab w:val="left" w:pos="20"/>
          <w:tab w:val="left" w:pos="283"/>
        </w:tabs>
        <w:autoSpaceDE w:val="0"/>
        <w:autoSpaceDN w:val="0"/>
        <w:adjustRightInd w:val="0"/>
        <w:rPr>
          <w:rFonts w:asciiTheme="majorHAnsi" w:hAnsiTheme="majorHAnsi" w:cstheme="majorHAnsi"/>
          <w:color w:val="191919"/>
          <w:kern w:val="1"/>
        </w:rPr>
      </w:pPr>
      <w:r>
        <w:rPr>
          <w:rFonts w:asciiTheme="majorHAnsi" w:hAnsiTheme="majorHAnsi" w:cstheme="majorHAnsi"/>
          <w:color w:val="191919"/>
          <w:kern w:val="1"/>
        </w:rPr>
        <w:t>Membership: Proposed pathways for engaging organizations and individuals in TCA governance and activities</w:t>
      </w:r>
    </w:p>
    <w:p w14:paraId="7C396F13" w14:textId="77777777" w:rsidR="00D536BF" w:rsidRPr="00D536BF" w:rsidRDefault="00D536BF" w:rsidP="00D536BF">
      <w:pPr>
        <w:autoSpaceDE w:val="0"/>
        <w:autoSpaceDN w:val="0"/>
        <w:adjustRightInd w:val="0"/>
        <w:rPr>
          <w:rFonts w:asciiTheme="majorHAnsi" w:hAnsiTheme="majorHAnsi" w:cstheme="majorHAnsi"/>
          <w:color w:val="191919"/>
          <w:kern w:val="1"/>
        </w:rPr>
      </w:pPr>
      <w:r w:rsidRPr="00D536BF">
        <w:rPr>
          <w:rFonts w:asciiTheme="majorHAnsi" w:hAnsiTheme="majorHAnsi" w:cstheme="majorHAnsi"/>
          <w:color w:val="191919"/>
          <w:kern w:val="1"/>
        </w:rPr>
        <w:t> </w:t>
      </w:r>
    </w:p>
    <w:p w14:paraId="42671F24" w14:textId="77777777" w:rsidR="00D536BF" w:rsidRPr="00D536BF" w:rsidRDefault="00D536BF" w:rsidP="00D536BF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191919"/>
          <w:kern w:val="1"/>
        </w:rPr>
      </w:pPr>
      <w:r w:rsidRPr="00D536BF">
        <w:rPr>
          <w:rFonts w:asciiTheme="majorHAnsi" w:hAnsiTheme="majorHAnsi" w:cstheme="majorHAnsi"/>
          <w:b/>
          <w:bCs/>
          <w:color w:val="191919"/>
          <w:kern w:val="1"/>
        </w:rPr>
        <w:t>Strategic Plan Update</w:t>
      </w:r>
    </w:p>
    <w:p w14:paraId="2054FD0D" w14:textId="6E4D1A5C" w:rsidR="00D536BF" w:rsidRPr="00D536BF" w:rsidRDefault="004E05C5" w:rsidP="00D536BF">
      <w:pPr>
        <w:pStyle w:val="ListParagraph"/>
        <w:numPr>
          <w:ilvl w:val="0"/>
          <w:numId w:val="8"/>
        </w:numPr>
        <w:tabs>
          <w:tab w:val="left" w:pos="20"/>
          <w:tab w:val="left" w:pos="180"/>
        </w:tabs>
        <w:autoSpaceDE w:val="0"/>
        <w:autoSpaceDN w:val="0"/>
        <w:adjustRightInd w:val="0"/>
        <w:rPr>
          <w:rFonts w:asciiTheme="majorHAnsi" w:hAnsiTheme="majorHAnsi" w:cstheme="majorHAnsi"/>
          <w:color w:val="191919"/>
          <w:kern w:val="1"/>
        </w:rPr>
      </w:pPr>
      <w:r>
        <w:rPr>
          <w:rFonts w:asciiTheme="majorHAnsi" w:hAnsiTheme="majorHAnsi" w:cstheme="majorHAnsi"/>
          <w:color w:val="191919"/>
          <w:kern w:val="1"/>
        </w:rPr>
        <w:t xml:space="preserve">Brief update on process and emerging themes </w:t>
      </w:r>
    </w:p>
    <w:p w14:paraId="079BC3B8" w14:textId="77777777" w:rsidR="00D536BF" w:rsidRDefault="00D536BF" w:rsidP="00D536BF"/>
    <w:p w14:paraId="3F25FF85" w14:textId="21E141F9" w:rsidR="00D536BF" w:rsidRPr="00D536BF" w:rsidRDefault="00401916" w:rsidP="00D536BF">
      <w:pPr>
        <w:autoSpaceDE w:val="0"/>
        <w:autoSpaceDN w:val="0"/>
        <w:adjustRightInd w:val="0"/>
        <w:rPr>
          <w:rFonts w:asciiTheme="majorHAnsi" w:hAnsiTheme="majorHAnsi" w:cstheme="majorHAnsi"/>
          <w:color w:val="191919"/>
          <w:kern w:val="1"/>
        </w:rPr>
      </w:pPr>
      <w:r>
        <w:rPr>
          <w:rFonts w:asciiTheme="majorHAnsi" w:hAnsiTheme="majorHAnsi" w:cstheme="majorHAnsi"/>
          <w:b/>
          <w:bCs/>
          <w:color w:val="191919"/>
          <w:kern w:val="1"/>
        </w:rPr>
        <w:t xml:space="preserve">Other Issues and Closing </w:t>
      </w:r>
    </w:p>
    <w:p w14:paraId="50672E52" w14:textId="06275311" w:rsidR="00401916" w:rsidRPr="00401916" w:rsidRDefault="00401916" w:rsidP="00D536BF">
      <w:pPr>
        <w:pStyle w:val="ListParagraph"/>
        <w:numPr>
          <w:ilvl w:val="0"/>
          <w:numId w:val="9"/>
        </w:numPr>
        <w:tabs>
          <w:tab w:val="left" w:pos="20"/>
          <w:tab w:val="left" w:pos="18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401916">
        <w:rPr>
          <w:rFonts w:asciiTheme="majorHAnsi" w:hAnsiTheme="majorHAnsi" w:cstheme="majorHAnsi"/>
        </w:rPr>
        <w:t xml:space="preserve">Open Discussion </w:t>
      </w:r>
    </w:p>
    <w:p w14:paraId="2B252D83" w14:textId="59ACAC9F" w:rsidR="004E05C5" w:rsidRPr="004E05C5" w:rsidRDefault="004E05C5" w:rsidP="00D536BF">
      <w:pPr>
        <w:pStyle w:val="ListParagraph"/>
        <w:numPr>
          <w:ilvl w:val="0"/>
          <w:numId w:val="9"/>
        </w:numPr>
        <w:tabs>
          <w:tab w:val="left" w:pos="20"/>
          <w:tab w:val="left" w:pos="180"/>
        </w:tabs>
        <w:autoSpaceDE w:val="0"/>
        <w:autoSpaceDN w:val="0"/>
        <w:adjustRightInd w:val="0"/>
      </w:pPr>
      <w:r>
        <w:rPr>
          <w:rFonts w:asciiTheme="majorHAnsi" w:hAnsiTheme="majorHAnsi" w:cstheme="majorHAnsi"/>
          <w:color w:val="191919"/>
          <w:kern w:val="1"/>
        </w:rPr>
        <w:t xml:space="preserve">Board of Directors Meeting 9/27 </w:t>
      </w:r>
    </w:p>
    <w:p w14:paraId="31A918B7" w14:textId="014885A5" w:rsidR="00D536BF" w:rsidRDefault="004E05C5" w:rsidP="00D536BF">
      <w:pPr>
        <w:pStyle w:val="ListParagraph"/>
        <w:numPr>
          <w:ilvl w:val="0"/>
          <w:numId w:val="9"/>
        </w:numPr>
        <w:tabs>
          <w:tab w:val="left" w:pos="20"/>
          <w:tab w:val="left" w:pos="180"/>
        </w:tabs>
        <w:autoSpaceDE w:val="0"/>
        <w:autoSpaceDN w:val="0"/>
        <w:adjustRightInd w:val="0"/>
      </w:pPr>
      <w:r>
        <w:rPr>
          <w:rFonts w:asciiTheme="majorHAnsi" w:hAnsiTheme="majorHAnsi" w:cstheme="majorHAnsi"/>
          <w:color w:val="191919"/>
          <w:kern w:val="1"/>
        </w:rPr>
        <w:t>Next Executive Committee Meeting 10/25</w:t>
      </w:r>
      <w:r w:rsidR="00D536BF">
        <w:rPr>
          <w:rFonts w:asciiTheme="majorHAnsi" w:hAnsiTheme="majorHAnsi" w:cstheme="majorHAnsi"/>
          <w:color w:val="191919"/>
          <w:kern w:val="1"/>
        </w:rPr>
        <w:t xml:space="preserve"> </w:t>
      </w:r>
    </w:p>
    <w:sectPr w:rsidR="00D536BF" w:rsidSect="00C42E3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55616EA"/>
    <w:multiLevelType w:val="hybridMultilevel"/>
    <w:tmpl w:val="8B7A2B3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C795D"/>
    <w:multiLevelType w:val="hybridMultilevel"/>
    <w:tmpl w:val="4A48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B566E"/>
    <w:multiLevelType w:val="hybridMultilevel"/>
    <w:tmpl w:val="E88CE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B435C"/>
    <w:multiLevelType w:val="hybridMultilevel"/>
    <w:tmpl w:val="D7240B1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7000A"/>
    <w:multiLevelType w:val="hybridMultilevel"/>
    <w:tmpl w:val="5D2E4682"/>
    <w:lvl w:ilvl="0" w:tplc="00000001">
      <w:start w:val="1"/>
      <w:numFmt w:val="bullet"/>
      <w:lvlText w:val="•"/>
      <w:lvlJc w:val="left"/>
      <w:pPr>
        <w:ind w:left="719" w:hanging="360"/>
      </w:p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62646553"/>
    <w:multiLevelType w:val="hybridMultilevel"/>
    <w:tmpl w:val="50009C08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11C7E"/>
    <w:multiLevelType w:val="hybridMultilevel"/>
    <w:tmpl w:val="75D6F3B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888474">
    <w:abstractNumId w:val="0"/>
  </w:num>
  <w:num w:numId="2" w16cid:durableId="333802146">
    <w:abstractNumId w:val="1"/>
  </w:num>
  <w:num w:numId="3" w16cid:durableId="614943585">
    <w:abstractNumId w:val="2"/>
  </w:num>
  <w:num w:numId="4" w16cid:durableId="26684246">
    <w:abstractNumId w:val="3"/>
  </w:num>
  <w:num w:numId="5" w16cid:durableId="1400329042">
    <w:abstractNumId w:val="6"/>
  </w:num>
  <w:num w:numId="6" w16cid:durableId="1637174918">
    <w:abstractNumId w:val="9"/>
  </w:num>
  <w:num w:numId="7" w16cid:durableId="84541460">
    <w:abstractNumId w:val="8"/>
  </w:num>
  <w:num w:numId="8" w16cid:durableId="1587499217">
    <w:abstractNumId w:val="4"/>
  </w:num>
  <w:num w:numId="9" w16cid:durableId="345598046">
    <w:abstractNumId w:val="7"/>
  </w:num>
  <w:num w:numId="10" w16cid:durableId="596209520">
    <w:abstractNumId w:val="10"/>
  </w:num>
  <w:num w:numId="11" w16cid:durableId="351493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BF"/>
    <w:rsid w:val="00401916"/>
    <w:rsid w:val="004E05C5"/>
    <w:rsid w:val="0073281D"/>
    <w:rsid w:val="007E2F61"/>
    <w:rsid w:val="00844E92"/>
    <w:rsid w:val="00A95902"/>
    <w:rsid w:val="00C8723B"/>
    <w:rsid w:val="00C94748"/>
    <w:rsid w:val="00CF7D62"/>
    <w:rsid w:val="00D536BF"/>
    <w:rsid w:val="00D930D7"/>
    <w:rsid w:val="00DD509D"/>
    <w:rsid w:val="00EA7776"/>
    <w:rsid w:val="00EE1931"/>
    <w:rsid w:val="00F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0B824"/>
  <w15:chartTrackingRefBased/>
  <w15:docId w15:val="{642EBD9B-325E-A44A-A317-82174D71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6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D536BF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D536BF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D536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3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6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6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6BF"/>
    <w:rPr>
      <w:b/>
      <w:bCs/>
      <w:sz w:val="20"/>
      <w:szCs w:val="20"/>
    </w:rPr>
  </w:style>
  <w:style w:type="character" w:customStyle="1" w:styleId="xxxelementtoproof">
    <w:name w:val="x_x_x_elementtoproof"/>
    <w:basedOn w:val="DefaultParagraphFont"/>
    <w:rsid w:val="00844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607AB6-308A-7E49-B6D5-BB8EEDF8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Cristol</dc:creator>
  <cp:keywords/>
  <dc:description/>
  <cp:lastModifiedBy>Katie Cristol</cp:lastModifiedBy>
  <cp:revision>11</cp:revision>
  <cp:lastPrinted>2023-07-11T19:27:00Z</cp:lastPrinted>
  <dcterms:created xsi:type="dcterms:W3CDTF">2023-07-10T12:55:00Z</dcterms:created>
  <dcterms:modified xsi:type="dcterms:W3CDTF">2023-09-12T15:01:00Z</dcterms:modified>
</cp:coreProperties>
</file>